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159" w:rsidRDefault="00D97D5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OBRAZLOŽENJE OPĆEG DIJELA FINANCIJSKOG PLANA </w:t>
      </w:r>
    </w:p>
    <w:p w:rsidR="00936159" w:rsidRDefault="00D97D5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ZA RAZDOBLJE 2025.-2027.</w:t>
      </w:r>
    </w:p>
    <w:p w:rsidR="00936159" w:rsidRDefault="00936159">
      <w:pPr>
        <w:spacing w:line="240" w:lineRule="auto"/>
        <w:jc w:val="center"/>
        <w:rPr>
          <w:rFonts w:ascii="Times New Roman" w:hAnsi="Times New Roman" w:cs="Times New Roman"/>
          <w:b/>
          <w:sz w:val="24"/>
          <w:szCs w:val="24"/>
        </w:rPr>
      </w:pPr>
    </w:p>
    <w:p w:rsidR="00936159" w:rsidRDefault="00D97D52">
      <w:pPr>
        <w:spacing w:line="240" w:lineRule="auto"/>
        <w:rPr>
          <w:rFonts w:ascii="Times New Roman" w:hAnsi="Times New Roman" w:cs="Times New Roman"/>
          <w:b/>
          <w:sz w:val="24"/>
          <w:szCs w:val="24"/>
        </w:rPr>
      </w:pPr>
      <w:r>
        <w:rPr>
          <w:rFonts w:ascii="Times New Roman" w:hAnsi="Times New Roman" w:cs="Times New Roman"/>
          <w:b/>
          <w:sz w:val="24"/>
          <w:szCs w:val="24"/>
        </w:rPr>
        <w:t>Proračunski korisnik: 1907 – Sveučilište u Zagrebu – Fakultet političkih znanosti</w:t>
      </w:r>
    </w:p>
    <w:p w:rsidR="00936159" w:rsidRDefault="00936159">
      <w:pPr>
        <w:spacing w:line="240" w:lineRule="auto"/>
        <w:rPr>
          <w:rFonts w:ascii="Times New Roman" w:hAnsi="Times New Roman" w:cs="Times New Roman"/>
          <w:b/>
          <w:sz w:val="24"/>
          <w:szCs w:val="24"/>
        </w:rPr>
      </w:pPr>
    </w:p>
    <w:p w:rsidR="00936159" w:rsidRDefault="00D97D52">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PRIHODI I PRIMICI</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U razdoblju od 2025. do 2027.g  ukupno planirani prihodi i primici iznose 18.812.853,00 eura. Opći prihodi i primici iz izvora 11 planirani su prema dobivenim limitima, u ukupnom iznosu od 4.868.485,00 eura za aktivnosti A621001 Redovna aktivnost Sveučilišta u Zagrebu i A622122 Programsko financiranje javnih visokih učilišta za sljedeće tri godine.</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Iznimno za razdoblje 2025. do 2027.g ukalkulirano je na izvoru 11, aktivnost A621181 238.950,00 eura vezano za planiranje rashoda za plaće po pravomoćnim presudama. </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Prihodi na izvoru 31 Vlastiti prihodi iznose 37.608,00 eura i 43 Ostali prihodi za posebne namjene planirani su u iznosu 1.395.749,00 eura. U najvećoj mjeri oni se odnose na prihode od specijalističkih i doktorskih studija te ostalih školarina. Na izvoru 43 planirani su slični prihodi u 2026.g i 2027.g u odnosu na 2025.g</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Prihodi na izvoru 52 planirani su isključivo prema pismenoj obavijesti od HRZZ i AEM-a.</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Izvor 61 donacije, odnosi se na projekte s udrugama u kojima je Fakultet partner. Prihode očekujemo u 2026.godini i 2027. godini zbog dva nova projekta koji će trajati dvije godine.</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izvoru 51 planirani su prihodi za šest postojeća projekta te jedan novi. Za neke od projekta bi trebao biti doznačen predujam do kraja 2025. godine. </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Unutar izvora 815 Namjenski primitak-NPOO planirani su prihodi 2.033224,00 eura za Obnovu infrastrukture i opreme u području obrazovanja oštećene potresom: „Cjelovita obnova zgrade oštećene potresom u Ulici Ivana </w:t>
      </w:r>
      <w:proofErr w:type="spellStart"/>
      <w:r>
        <w:rPr>
          <w:rFonts w:ascii="Times New Roman" w:hAnsi="Times New Roman" w:cs="Times New Roman"/>
          <w:sz w:val="24"/>
          <w:szCs w:val="24"/>
        </w:rPr>
        <w:t>Lepušića</w:t>
      </w:r>
      <w:proofErr w:type="spellEnd"/>
      <w:r>
        <w:rPr>
          <w:rFonts w:ascii="Times New Roman" w:hAnsi="Times New Roman" w:cs="Times New Roman"/>
          <w:sz w:val="24"/>
          <w:szCs w:val="24"/>
        </w:rPr>
        <w:t xml:space="preserve"> 6 u Zagrebu“, FSEU.2021.MZO.037. </w:t>
      </w:r>
    </w:p>
    <w:p w:rsidR="00936159" w:rsidRDefault="00936159">
      <w:pPr>
        <w:spacing w:line="240" w:lineRule="auto"/>
        <w:jc w:val="both"/>
        <w:rPr>
          <w:rFonts w:ascii="Times New Roman" w:hAnsi="Times New Roman" w:cs="Times New Roman"/>
          <w:sz w:val="24"/>
          <w:szCs w:val="24"/>
        </w:rPr>
      </w:pPr>
    </w:p>
    <w:p w:rsidR="00936159" w:rsidRDefault="00D97D52">
      <w:pPr>
        <w:spacing w:line="240" w:lineRule="auto"/>
        <w:jc w:val="both"/>
        <w:rPr>
          <w:rFonts w:ascii="Times New Roman" w:hAnsi="Times New Roman" w:cs="Times New Roman"/>
          <w:b/>
          <w:sz w:val="24"/>
          <w:szCs w:val="24"/>
        </w:rPr>
      </w:pPr>
      <w:r>
        <w:rPr>
          <w:rFonts w:ascii="Times New Roman" w:hAnsi="Times New Roman" w:cs="Times New Roman"/>
          <w:b/>
          <w:sz w:val="24"/>
          <w:szCs w:val="24"/>
        </w:rPr>
        <w:t>RASHODI I IZDACI</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Ukupni planirani rashodi za razdoblje od 2025.g do 2027.g po svim izvorima iznose 18.812.853,00 eura. Najznačajniji rashodi u ovom razdoblju odnose se na obnovu zgrade </w:t>
      </w:r>
      <w:r w:rsidR="006D0DEC">
        <w:rPr>
          <w:rFonts w:ascii="Times New Roman" w:hAnsi="Times New Roman" w:cs="Times New Roman"/>
          <w:sz w:val="24"/>
          <w:szCs w:val="24"/>
        </w:rPr>
        <w:t xml:space="preserve">jer traju </w:t>
      </w:r>
      <w:r>
        <w:rPr>
          <w:rFonts w:ascii="Times New Roman" w:hAnsi="Times New Roman" w:cs="Times New Roman"/>
          <w:sz w:val="24"/>
          <w:szCs w:val="24"/>
        </w:rPr>
        <w:t>radov</w:t>
      </w:r>
      <w:r w:rsidR="006D0DEC">
        <w:rPr>
          <w:rFonts w:ascii="Times New Roman" w:hAnsi="Times New Roman" w:cs="Times New Roman"/>
          <w:sz w:val="24"/>
          <w:szCs w:val="24"/>
        </w:rPr>
        <w:t>i</w:t>
      </w:r>
      <w:bookmarkStart w:id="0" w:name="_GoBack"/>
      <w:bookmarkEnd w:id="0"/>
      <w:r>
        <w:rPr>
          <w:rFonts w:ascii="Times New Roman" w:hAnsi="Times New Roman" w:cs="Times New Roman"/>
          <w:sz w:val="24"/>
          <w:szCs w:val="24"/>
        </w:rPr>
        <w:t xml:space="preserve"> cjelovite obnove zgrade oštećene potresom.</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Ostali značajni rashodi očekuju se po projektima, najviše unutar izvora 51 iz razloga što je za neke projekte doznačen predujam u proteklom razdoblju, a očekuju se veći izdaci u idućim godinama. Fakultet će dio troškova morati sufinancirati iz vlastitih sredstava.</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Unutar rashoda na listu p4 evidentirani su planirani rashodi po </w:t>
      </w:r>
      <w:proofErr w:type="spellStart"/>
      <w:r>
        <w:rPr>
          <w:rFonts w:ascii="Times New Roman" w:hAnsi="Times New Roman" w:cs="Times New Roman"/>
          <w:sz w:val="24"/>
          <w:szCs w:val="24"/>
        </w:rPr>
        <w:t>podprojektima</w:t>
      </w:r>
      <w:proofErr w:type="spellEnd"/>
      <w:r>
        <w:rPr>
          <w:rFonts w:ascii="Times New Roman" w:hAnsi="Times New Roman" w:cs="Times New Roman"/>
          <w:sz w:val="24"/>
          <w:szCs w:val="24"/>
        </w:rPr>
        <w:t>, od čega su ŠEST postojećih projekta, a jedan novi.</w:t>
      </w:r>
    </w:p>
    <w:p w:rsidR="00936159" w:rsidRDefault="00936159">
      <w:pPr>
        <w:spacing w:line="240" w:lineRule="auto"/>
        <w:jc w:val="both"/>
        <w:rPr>
          <w:rFonts w:ascii="Times New Roman" w:hAnsi="Times New Roman" w:cs="Times New Roman"/>
          <w:sz w:val="24"/>
          <w:szCs w:val="24"/>
        </w:rPr>
      </w:pPr>
    </w:p>
    <w:p w:rsidR="00D97D52" w:rsidRDefault="00D97D52">
      <w:pPr>
        <w:spacing w:line="240" w:lineRule="auto"/>
        <w:jc w:val="both"/>
        <w:rPr>
          <w:rFonts w:ascii="Times New Roman" w:hAnsi="Times New Roman" w:cs="Times New Roman"/>
          <w:b/>
          <w:sz w:val="24"/>
          <w:szCs w:val="24"/>
        </w:rPr>
      </w:pPr>
    </w:p>
    <w:p w:rsidR="00D97D52" w:rsidRDefault="00D97D52">
      <w:pPr>
        <w:spacing w:line="240" w:lineRule="auto"/>
        <w:jc w:val="both"/>
        <w:rPr>
          <w:rFonts w:ascii="Times New Roman" w:hAnsi="Times New Roman" w:cs="Times New Roman"/>
          <w:b/>
          <w:sz w:val="24"/>
          <w:szCs w:val="24"/>
        </w:rPr>
      </w:pPr>
    </w:p>
    <w:p w:rsidR="00936159" w:rsidRDefault="00D97D5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PRIMICI OD FINANCIJSKE IMOVINE I ZADUŽIVANJE</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Unutar izvora 815 Namjenski primitak-NPOO planirano je u 2025. godini 2.033.224,00 eura  za Obnovu infrastrukture i opreme u području obrazovanja oštećene potresom: „Cjelovita obnova zgrade oštećene potresom u Ulici Ivana </w:t>
      </w:r>
      <w:proofErr w:type="spellStart"/>
      <w:r>
        <w:rPr>
          <w:rFonts w:ascii="Times New Roman" w:hAnsi="Times New Roman" w:cs="Times New Roman"/>
          <w:sz w:val="24"/>
          <w:szCs w:val="24"/>
        </w:rPr>
        <w:t>Lepušića</w:t>
      </w:r>
      <w:proofErr w:type="spellEnd"/>
      <w:r>
        <w:rPr>
          <w:rFonts w:ascii="Times New Roman" w:hAnsi="Times New Roman" w:cs="Times New Roman"/>
          <w:sz w:val="24"/>
          <w:szCs w:val="24"/>
        </w:rPr>
        <w:t xml:space="preserve"> 6 u Zagrebu“.</w:t>
      </w:r>
    </w:p>
    <w:p w:rsidR="00936159" w:rsidRDefault="00936159">
      <w:pPr>
        <w:spacing w:line="240" w:lineRule="auto"/>
        <w:jc w:val="both"/>
        <w:rPr>
          <w:rFonts w:ascii="Times New Roman" w:hAnsi="Times New Roman" w:cs="Times New Roman"/>
          <w:b/>
          <w:sz w:val="24"/>
          <w:szCs w:val="24"/>
        </w:rPr>
      </w:pPr>
    </w:p>
    <w:p w:rsidR="00936159" w:rsidRDefault="00936159">
      <w:pPr>
        <w:spacing w:line="240" w:lineRule="auto"/>
        <w:jc w:val="both"/>
        <w:rPr>
          <w:rFonts w:ascii="Times New Roman" w:hAnsi="Times New Roman" w:cs="Times New Roman"/>
          <w:b/>
          <w:sz w:val="24"/>
          <w:szCs w:val="24"/>
        </w:rPr>
      </w:pPr>
    </w:p>
    <w:p w:rsidR="00936159" w:rsidRDefault="00D97D52">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PRIJENOS SREDSTAVA IZ PRETHODNE I U SLJEDEĆU GODINU</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Prijenos sredstva planiran je za izvore 31, 43, 61, 71, 51, 52 te izvor 576. Prenesena sredstva iz izvora 31 i 43 u najvećoj mjeri odnose se na prihode ostvarene u prethodnim godinama i ona se iz godine u godinu smanjuju na način da se namjenski troše. Planira se dio vlastitih prihoda utrošiti za pokrivanje rashoda po nekim od projekata te za dio troškova obnove zgrade ukoliko bude potrebe za istim.</w:t>
      </w:r>
    </w:p>
    <w:p w:rsidR="00936159" w:rsidRDefault="00D97D52">
      <w:pPr>
        <w:spacing w:line="240" w:lineRule="auto"/>
        <w:jc w:val="both"/>
        <w:rPr>
          <w:rFonts w:ascii="Times New Roman" w:hAnsi="Times New Roman" w:cs="Times New Roman"/>
          <w:sz w:val="24"/>
          <w:szCs w:val="24"/>
        </w:rPr>
      </w:pPr>
      <w:r>
        <w:rPr>
          <w:rFonts w:ascii="Times New Roman" w:hAnsi="Times New Roman" w:cs="Times New Roman"/>
          <w:sz w:val="24"/>
          <w:szCs w:val="24"/>
        </w:rPr>
        <w:t>Prijenos sredstava na izvoru 71 odnosi se na sredstva od prodaje stanova koja bi se namjenski trebala utrošiti po završetku obnove zgrade ili pokriti određene manjkove ukoliko do njih dođe.</w:t>
      </w:r>
    </w:p>
    <w:p w:rsidR="00936159" w:rsidRDefault="00936159">
      <w:pPr>
        <w:spacing w:line="240" w:lineRule="auto"/>
        <w:jc w:val="both"/>
        <w:rPr>
          <w:rFonts w:ascii="Times New Roman" w:hAnsi="Times New Roman" w:cs="Times New Roman"/>
          <w:sz w:val="24"/>
          <w:szCs w:val="24"/>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060"/>
        <w:gridCol w:w="3061"/>
        <w:gridCol w:w="3061"/>
      </w:tblGrid>
      <w:tr w:rsidR="00936159">
        <w:tc>
          <w:tcPr>
            <w:tcW w:w="3024" w:type="dxa"/>
            <w:tcBorders>
              <w:top w:val="single" w:sz="4" w:space="0" w:color="000000"/>
              <w:left w:val="single" w:sz="4" w:space="0" w:color="000000"/>
              <w:bottom w:val="single" w:sz="4" w:space="0" w:color="000000"/>
            </w:tcBorders>
          </w:tcPr>
          <w:p w:rsidR="00936159" w:rsidRDefault="00936159">
            <w:pPr>
              <w:pStyle w:val="TableContents"/>
              <w:rPr>
                <w:rFonts w:ascii="Times New Roman" w:hAnsi="Times New Roman" w:cs="Times New Roman"/>
                <w:sz w:val="28"/>
                <w:szCs w:val="24"/>
              </w:rPr>
            </w:pPr>
          </w:p>
        </w:tc>
        <w:tc>
          <w:tcPr>
            <w:tcW w:w="3024" w:type="dxa"/>
            <w:tcBorders>
              <w:top w:val="single" w:sz="4" w:space="0" w:color="000000"/>
              <w:left w:val="single" w:sz="4" w:space="0" w:color="000000"/>
              <w:bottom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Stanje obveza na dan 31.12.2023.</w:t>
            </w:r>
          </w:p>
        </w:tc>
        <w:tc>
          <w:tcPr>
            <w:tcW w:w="3024" w:type="dxa"/>
            <w:tcBorders>
              <w:top w:val="single" w:sz="4" w:space="0" w:color="000000"/>
              <w:left w:val="single" w:sz="4" w:space="0" w:color="000000"/>
              <w:bottom w:val="single" w:sz="4" w:space="0" w:color="000000"/>
              <w:right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 xml:space="preserve"> Stanje obveza na dan 30.06.2024.</w:t>
            </w:r>
          </w:p>
        </w:tc>
      </w:tr>
      <w:tr w:rsidR="00936159">
        <w:tc>
          <w:tcPr>
            <w:tcW w:w="3024" w:type="dxa"/>
            <w:tcBorders>
              <w:left w:val="single" w:sz="4" w:space="0" w:color="000000"/>
              <w:bottom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Ukupne obveze</w:t>
            </w:r>
          </w:p>
        </w:tc>
        <w:tc>
          <w:tcPr>
            <w:tcW w:w="3024" w:type="dxa"/>
            <w:tcBorders>
              <w:left w:val="single" w:sz="4" w:space="0" w:color="000000"/>
              <w:bottom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511.414,31</w:t>
            </w:r>
          </w:p>
        </w:tc>
        <w:tc>
          <w:tcPr>
            <w:tcW w:w="3024" w:type="dxa"/>
            <w:tcBorders>
              <w:left w:val="single" w:sz="4" w:space="0" w:color="000000"/>
              <w:bottom w:val="single" w:sz="4" w:space="0" w:color="000000"/>
              <w:right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 xml:space="preserve"> 436.655,07</w:t>
            </w:r>
          </w:p>
        </w:tc>
      </w:tr>
      <w:tr w:rsidR="00936159">
        <w:tc>
          <w:tcPr>
            <w:tcW w:w="3024" w:type="dxa"/>
            <w:tcBorders>
              <w:top w:val="single" w:sz="4" w:space="0" w:color="000000"/>
              <w:left w:val="single" w:sz="4" w:space="0" w:color="000000"/>
              <w:bottom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Dospjele obveze</w:t>
            </w:r>
          </w:p>
        </w:tc>
        <w:tc>
          <w:tcPr>
            <w:tcW w:w="3024" w:type="dxa"/>
            <w:tcBorders>
              <w:top w:val="single" w:sz="4" w:space="0" w:color="000000"/>
              <w:left w:val="single" w:sz="4" w:space="0" w:color="000000"/>
              <w:bottom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14.629,74</w:t>
            </w:r>
          </w:p>
        </w:tc>
        <w:tc>
          <w:tcPr>
            <w:tcW w:w="3024" w:type="dxa"/>
            <w:tcBorders>
              <w:top w:val="single" w:sz="4" w:space="0" w:color="000000"/>
              <w:left w:val="single" w:sz="4" w:space="0" w:color="000000"/>
              <w:bottom w:val="single" w:sz="4" w:space="0" w:color="000000"/>
              <w:right w:val="single" w:sz="4" w:space="0" w:color="000000"/>
            </w:tcBorders>
          </w:tcPr>
          <w:p w:rsidR="00936159" w:rsidRDefault="00D97D52">
            <w:pPr>
              <w:pStyle w:val="BodyText"/>
              <w:rPr>
                <w:rFonts w:ascii="Times New Roman" w:hAnsi="Times New Roman"/>
                <w:color w:val="000000"/>
                <w:sz w:val="28"/>
              </w:rPr>
            </w:pPr>
            <w:r>
              <w:rPr>
                <w:rFonts w:ascii="Times New Roman" w:hAnsi="Times New Roman"/>
                <w:color w:val="000000"/>
                <w:sz w:val="28"/>
              </w:rPr>
              <w:t xml:space="preserve"> 10.170,19</w:t>
            </w:r>
          </w:p>
        </w:tc>
      </w:tr>
    </w:tbl>
    <w:p w:rsidR="00936159" w:rsidRDefault="00936159">
      <w:pPr>
        <w:rPr>
          <w:rFonts w:ascii="Times New Roman" w:hAnsi="Times New Roman"/>
          <w:color w:val="000000"/>
          <w:sz w:val="28"/>
        </w:rPr>
      </w:pPr>
    </w:p>
    <w:p w:rsidR="00936159" w:rsidRDefault="00936159">
      <w:pPr>
        <w:pStyle w:val="BodyText"/>
        <w:rPr>
          <w:rFonts w:ascii="Times New Roman" w:hAnsi="Times New Roman"/>
          <w:color w:val="000000"/>
          <w:sz w:val="28"/>
        </w:rPr>
      </w:pPr>
    </w:p>
    <w:p w:rsidR="00936159" w:rsidRDefault="00936159">
      <w:pPr>
        <w:pStyle w:val="BodyText"/>
        <w:rPr>
          <w:rFonts w:ascii="Times New Roman" w:hAnsi="Times New Roman"/>
          <w:color w:val="000000"/>
          <w:sz w:val="28"/>
        </w:rPr>
      </w:pPr>
    </w:p>
    <w:p w:rsidR="00936159" w:rsidRDefault="00936159">
      <w:pPr>
        <w:pStyle w:val="BodyText"/>
        <w:rPr>
          <w:rFonts w:ascii="Times New Roman" w:hAnsi="Times New Roman"/>
          <w:color w:val="000000"/>
          <w:sz w:val="28"/>
        </w:rPr>
      </w:pPr>
    </w:p>
    <w:p w:rsidR="00936159" w:rsidRDefault="00936159">
      <w:pPr>
        <w:pStyle w:val="BodyText"/>
        <w:rPr>
          <w:rFonts w:ascii="Times New Roman" w:hAnsi="Times New Roman"/>
          <w:color w:val="000000"/>
          <w:sz w:val="28"/>
        </w:rPr>
      </w:pPr>
    </w:p>
    <w:p w:rsidR="00936159" w:rsidRDefault="00936159">
      <w:pPr>
        <w:pStyle w:val="BodyText"/>
        <w:rPr>
          <w:rFonts w:ascii="Times New Roman" w:hAnsi="Times New Roman"/>
          <w:color w:val="000000"/>
          <w:sz w:val="28"/>
        </w:rPr>
      </w:pPr>
    </w:p>
    <w:p w:rsidR="00936159" w:rsidRDefault="00936159">
      <w:pPr>
        <w:spacing w:line="240" w:lineRule="auto"/>
        <w:rPr>
          <w:rFonts w:ascii="Times New Roman" w:hAnsi="Times New Roman" w:cs="Times New Roman"/>
          <w:sz w:val="24"/>
          <w:szCs w:val="24"/>
        </w:rPr>
      </w:pPr>
    </w:p>
    <w:p w:rsidR="00936159" w:rsidRDefault="00936159">
      <w:pPr>
        <w:spacing w:line="240" w:lineRule="auto"/>
        <w:rPr>
          <w:rFonts w:ascii="Times New Roman" w:hAnsi="Times New Roman" w:cs="Times New Roman"/>
          <w:sz w:val="24"/>
          <w:szCs w:val="24"/>
        </w:rPr>
      </w:pPr>
    </w:p>
    <w:p w:rsidR="00936159" w:rsidRDefault="00D97D52">
      <w:pPr>
        <w:rPr>
          <w:rFonts w:ascii="Times New Roman" w:hAnsi="Times New Roman" w:cs="Times New Roman"/>
          <w:sz w:val="24"/>
          <w:szCs w:val="24"/>
        </w:rPr>
      </w:pPr>
      <w:r>
        <w:rPr>
          <w:rFonts w:ascii="Times New Roman" w:hAnsi="Times New Roman" w:cs="Times New Roman"/>
          <w:sz w:val="24"/>
          <w:szCs w:val="24"/>
        </w:rPr>
        <w:t>U Zagrebu, 16.12.2024.g</w:t>
      </w:r>
    </w:p>
    <w:p w:rsidR="00936159" w:rsidRDefault="00936159"/>
    <w:p w:rsidR="00936159" w:rsidRDefault="00D97D52">
      <w:pPr>
        <w:jc w:val="right"/>
      </w:pPr>
      <w:r>
        <w:rPr>
          <w:rFonts w:ascii="Times New Roman" w:hAnsi="Times New Roman" w:cs="Times New Roman"/>
          <w:sz w:val="24"/>
          <w:szCs w:val="24"/>
        </w:rPr>
        <w:t>Dekan, izv.prof.dr.sc. Dario Nikić-Čakar</w:t>
      </w:r>
    </w:p>
    <w:sectPr w:rsidR="00936159">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100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59"/>
    <w:rsid w:val="006D0DEC"/>
    <w:rsid w:val="00936159"/>
    <w:rsid w:val="00D97D5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DA36"/>
  <w15:docId w15:val="{69ADDF47-BE5B-4387-82AA-0484BCE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2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75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Brnadić</dc:creator>
  <dc:description/>
  <cp:lastModifiedBy>Marija Brnadić</cp:lastModifiedBy>
  <cp:revision>4</cp:revision>
  <dcterms:created xsi:type="dcterms:W3CDTF">2024-11-06T14:59:00Z</dcterms:created>
  <dcterms:modified xsi:type="dcterms:W3CDTF">2024-12-16T09:05:00Z</dcterms:modified>
  <dc:language>hr-HR</dc:language>
</cp:coreProperties>
</file>