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9B" w:rsidRDefault="00885F9B" w:rsidP="00885F9B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ab/>
        <w:t xml:space="preserve">   </w:t>
      </w:r>
      <w:r>
        <w:rPr>
          <w:rFonts w:ascii="Helv" w:hAnsi="Helv" w:cs="Helv"/>
          <w:color w:val="000000"/>
          <w:sz w:val="20"/>
          <w:szCs w:val="20"/>
        </w:rPr>
        <w:tab/>
        <w:t xml:space="preserve">      </w:t>
      </w:r>
      <w:r>
        <w:rPr>
          <w:rFonts w:ascii="Helv" w:hAnsi="Helv" w:cs="Helv"/>
          <w:noProof/>
          <w:color w:val="000000"/>
          <w:sz w:val="20"/>
          <w:szCs w:val="20"/>
          <w:lang w:eastAsia="hr-HR"/>
        </w:rPr>
        <w:drawing>
          <wp:inline distT="0" distB="0" distL="0" distR="0">
            <wp:extent cx="584200" cy="7258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9B" w:rsidRDefault="00885F9B" w:rsidP="00885F9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USTAVNI SUD REPUBLIKE HRVATSKE</w:t>
      </w:r>
      <w:r>
        <w:rPr>
          <w:rFonts w:cs="Arial"/>
          <w:color w:val="000000"/>
          <w:szCs w:val="24"/>
        </w:rPr>
        <w:t xml:space="preserve">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Broj: U-III-6361/2011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Zagreb, 5. svibnja 2016.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 xml:space="preserve">Ustavni sud Republike Hrvatske, u Drugom vijeću za odlučivanje o ustavnim tužbama, u sastavu sutkinja Snježana Bagić, predsjednica Vijeća, te suci Mato Arlović, Antun </w:t>
      </w:r>
      <w:proofErr w:type="spellStart"/>
      <w:r>
        <w:rPr>
          <w:rFonts w:cs="Arial"/>
          <w:color w:val="000000"/>
          <w:szCs w:val="24"/>
        </w:rPr>
        <w:t>Palarić</w:t>
      </w:r>
      <w:proofErr w:type="spellEnd"/>
      <w:r>
        <w:rPr>
          <w:rFonts w:cs="Arial"/>
          <w:color w:val="000000"/>
          <w:szCs w:val="24"/>
        </w:rPr>
        <w:t xml:space="preserve">, Aldo Radolović, Duška </w:t>
      </w:r>
      <w:proofErr w:type="spellStart"/>
      <w:r>
        <w:rPr>
          <w:rFonts w:cs="Arial"/>
          <w:color w:val="000000"/>
          <w:szCs w:val="24"/>
        </w:rPr>
        <w:t>Šarin</w:t>
      </w:r>
      <w:proofErr w:type="spellEnd"/>
      <w:r>
        <w:rPr>
          <w:rFonts w:cs="Arial"/>
          <w:color w:val="000000"/>
          <w:szCs w:val="24"/>
        </w:rPr>
        <w:t xml:space="preserve"> i Miroslav Šeparović, članovi Vijeća, odlučujući o ustavnoj tužbi koju je podnijelo trgovačko društvo NARODNI LIST d.d., Zadar, koje zastupa zakonski zastupnik Vedran </w:t>
      </w:r>
      <w:proofErr w:type="spellStart"/>
      <w:r>
        <w:rPr>
          <w:rFonts w:cs="Arial"/>
          <w:color w:val="000000"/>
          <w:szCs w:val="24"/>
        </w:rPr>
        <w:t>Škulić</w:t>
      </w:r>
      <w:proofErr w:type="spellEnd"/>
      <w:r>
        <w:rPr>
          <w:rFonts w:cs="Arial"/>
          <w:color w:val="000000"/>
          <w:szCs w:val="24"/>
        </w:rPr>
        <w:t>, na sjednici održanoj 5. svibnja 2016., jednoglasno je donio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O D L U K U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  <w:t xml:space="preserve">Ustavna tužba se odbija.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O b r a z l o ž e n j e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  <w:t>I. POSTUPAK PRED USTAVNIM SUDOM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1.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 xml:space="preserve">Ustavnu tužbu podnijelo je trgovačko društvo NARODNI LIST d.d. ZADAR (u daljnjem tekstu: podnositelj), koje u postupku pred Ustavnim sudom zastupa zakonski zastupnik Vedran </w:t>
      </w:r>
      <w:proofErr w:type="spellStart"/>
      <w:r>
        <w:rPr>
          <w:rFonts w:cs="Arial"/>
          <w:color w:val="000000"/>
          <w:szCs w:val="24"/>
        </w:rPr>
        <w:t>Škulić</w:t>
      </w:r>
      <w:proofErr w:type="spellEnd"/>
      <w:r>
        <w:rPr>
          <w:rFonts w:cs="Arial"/>
          <w:color w:val="000000"/>
          <w:szCs w:val="24"/>
        </w:rPr>
        <w:t>. Ustavna tužba je pravodobna i dopuštena.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Ustavna tužba podnesena je protiv presude Županijskog suda u Šibeniku (u daljnjem tekstu: drugostupanjski sud) broj: </w:t>
      </w:r>
      <w:proofErr w:type="spellStart"/>
      <w:r>
        <w:rPr>
          <w:rFonts w:cs="Arial"/>
          <w:color w:val="000000"/>
          <w:szCs w:val="24"/>
        </w:rPr>
        <w:t>Gž</w:t>
      </w:r>
      <w:proofErr w:type="spellEnd"/>
      <w:r>
        <w:rPr>
          <w:rFonts w:cs="Arial"/>
          <w:color w:val="000000"/>
          <w:szCs w:val="24"/>
        </w:rPr>
        <w:t>-1835/2010-2 od 21. studenoga 2011., kojom je odbijena žalba podnositelja i u pobijanom dijelu (točka I. izreke) kao i u odluci o parničnom trošku potvrđena presuda Općinskog suda u Šibeniku broj: P-3244/09 od 26. kolovoza 2010.(u daljnjem tekstu: prvostupanjski sud).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Navedenom prvostupanjskom presudom djelomično je usvojen tužbeni zahtjev tužitelja Antuna </w:t>
      </w:r>
      <w:proofErr w:type="spellStart"/>
      <w:r>
        <w:rPr>
          <w:rFonts w:cs="Arial"/>
          <w:color w:val="000000"/>
          <w:szCs w:val="24"/>
        </w:rPr>
        <w:t>Klišmanića</w:t>
      </w:r>
      <w:proofErr w:type="spellEnd"/>
      <w:r>
        <w:rPr>
          <w:rFonts w:cs="Arial"/>
          <w:color w:val="000000"/>
          <w:szCs w:val="24"/>
        </w:rPr>
        <w:t xml:space="preserve"> i naloženo je podnositelju (tuženiku) da isplati tužitelju s osnova povrede prava osobnosti pravičnu novčanu naknadu u iznosu od 70.000,00 kuna sa zakonskom zateznom kamatom (točka I. izreke). Tužitelj je odbijen sa preostalim dijelom tužbenog zahtjeva u iznosu od 40.000,00 kuna.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1.1.</w:t>
      </w:r>
      <w:r>
        <w:rPr>
          <w:rFonts w:cs="Arial"/>
          <w:color w:val="000000"/>
          <w:szCs w:val="24"/>
        </w:rPr>
        <w:tab/>
        <w:t>Podnositelj u ustavnoj tužbi tvrdi da su mu osporenom presudom povrijeđene temeljne slobode i ljudska prava zajamčene Ustavom Republike Hrvatske ("Narodne novine" broj 56/90., 135/97., 113/00., 28/01., 76/10. i 5/14.).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II. ČINJENICE I OKOLNOSTI PREDMETA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</w:t>
      </w:r>
      <w:r>
        <w:rPr>
          <w:rFonts w:cs="Arial"/>
          <w:color w:val="000000"/>
          <w:szCs w:val="24"/>
        </w:rPr>
        <w:tab/>
        <w:t xml:space="preserve">Postupak, koji je prethodio ustavnosudskom, pokrenut je radi naknade nematerijalne štete zbog povrede prava osobnosti tužitelja - prava na ugled, čast i </w:t>
      </w:r>
      <w:r>
        <w:rPr>
          <w:rFonts w:cs="Arial"/>
          <w:color w:val="000000"/>
          <w:szCs w:val="24"/>
        </w:rPr>
        <w:lastRenderedPageBreak/>
        <w:t>dostojanstvo nastale objavom članka pod naslovom "Zadarski suci krše Ustav" u glasilu Narodni list d.d. Zadar broj 8794 od 3. lipnja 2009. Nakon provedenog dokaznog postupka sudovi su utvrdili da podnositelj, kao tuženik u parničnom postupku, nije, u smislu članka 21. stavka 4. Zakona o medijima ("Narodne novine" broj 59/04.), dokazao postojanje pretpostavki za oslobođenje od odgovornosti za štetu. U postupku je, naime, utvrđeno da sporni članak ne predstavlja vrijednosne sudove koji se temelje na utvrđenim i stvarnim činjenicama i objavljivanje kojeg bi bilo u javnom interesu, već da isti sadrži verbalno izražavanje subjektivnog shvaćanja autora teksta koje ima sva obilježja uvrede, a da se ne radi o satiričkom niti metaforičkom načinu izražavanja.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2.1.</w:t>
      </w:r>
      <w:r>
        <w:rPr>
          <w:rFonts w:cs="Arial"/>
          <w:color w:val="000000"/>
          <w:szCs w:val="24"/>
        </w:rPr>
        <w:tab/>
        <w:t>Mjerodavni dio prvostupanjske presude glasi: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"Naime, iz samih navoda zakonskog zastupnika tuženika iznesenih u njegovom iskazu u ovom postupku, kad iskazuje da su navodi vezani za tužitelja u spornom članku satirički i metaforički način izražavanja, da se radi o imaginarnom planu, kad se navodi u članku da je tužitelj sudjelovao u planu ('suci </w:t>
      </w:r>
      <w:proofErr w:type="spellStart"/>
      <w:r>
        <w:rPr>
          <w:rFonts w:cs="Arial"/>
          <w:color w:val="000000"/>
          <w:sz w:val="22"/>
        </w:rPr>
        <w:t>Bago</w:t>
      </w:r>
      <w:proofErr w:type="spellEnd"/>
      <w:r>
        <w:rPr>
          <w:rFonts w:cs="Arial"/>
          <w:color w:val="000000"/>
          <w:sz w:val="22"/>
        </w:rPr>
        <w:t xml:space="preserve"> i </w:t>
      </w:r>
      <w:proofErr w:type="spellStart"/>
      <w:r>
        <w:rPr>
          <w:rFonts w:cs="Arial"/>
          <w:color w:val="000000"/>
          <w:sz w:val="22"/>
        </w:rPr>
        <w:t>Klišmanić</w:t>
      </w:r>
      <w:proofErr w:type="spellEnd"/>
      <w:r>
        <w:rPr>
          <w:rFonts w:cs="Arial"/>
          <w:color w:val="000000"/>
          <w:sz w:val="22"/>
        </w:rPr>
        <w:t xml:space="preserve"> svojim časnim potpisima potkrijepili su plan oduzimanja djeteta ...'), da je tužitelj u tom eventualnom planu, i da nije znao da on sudjeluje u tome, ali da je sudjelovao u činjenici da je Ustavni sud osporio odluku njegova suda, da ne zna da li je tužitelj sudjelovao u donošenju odluke koja je predmetom gore iznesenog teksta spornog novinskog članka (informaciju o tome da je dobio od ...) te za dio članka koji glasi 'za to bi trebala biti dokazana njihova povezanost u kriminalnu organizaciju (tužiteljeva)' je izjavio da je takva rečenica u novinama proizašla kao percepcija javnosti o sudskom sporu koji se vodio tada pred Županijskim sudom u Zadru, kojeg je tužitelj predsjednik, pa dakle iz samih ovih navoda zakonskog zastupnika tuženika je nedvojbeno da nije ispunjena niti jedna od pretpostavki ... za oslobođenje od odgovornosti tuženika u konkretnom slučaju, a čija odgovornost proizlazi objavom predmetnog spornog članka, i po utvrđenju ovog suda, uvredljivog sadržaja teksta vezano za osobu tužitelja, koji ne predstavlja vrijednosni sud ... već isti članak sadrži verbalno izražavanje koje ima obilježje uvrede i to kao subjektivno shvaćanje autora teksta, i objavom spornog članka su tužitelju nedvojbeno povrijeđeni čast, ugled i dostojanstvo i kao javnog djelatnika - predsjednika Županijskog suda i kao čovjeka, jer se cijelim tekstom zapravo dovode u pitanje ljudske i profesionalne kvalitete tužitelja."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2.2.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U povodu žalbe podnositelja, osporenom drugostupanjskom presudom potvrđena je u cijelosti prvostupanjska presuda. U odnosu na žalbene navode podnositelja, u obrazloženju drugostupanjske presude navedeno je sljedeće: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"Tako u članku autor izričito navodi da je tužitelj 'svojim djelovanjem prekršio članak 35. Ustava Republike Hrvatske', 'svojim časnim potpisom potkrijepio je plan oduzimanja djeteta </w:t>
      </w:r>
      <w:proofErr w:type="spellStart"/>
      <w:r>
        <w:rPr>
          <w:rFonts w:cs="Arial"/>
          <w:color w:val="000000"/>
          <w:sz w:val="22"/>
        </w:rPr>
        <w:t>A.M</w:t>
      </w:r>
      <w:proofErr w:type="spellEnd"/>
      <w:r>
        <w:rPr>
          <w:rFonts w:cs="Arial"/>
          <w:color w:val="000000"/>
          <w:sz w:val="22"/>
        </w:rPr>
        <w:t xml:space="preserve">.', 'jako dobro poznaje Ustav svoje zemlje, ali je pitanje žele li to znanje koristiti u presudama ili želi prosuđivati proizvoljno, te 'da je prvi put da je Ustavni sud doista donio odluku da je </w:t>
      </w:r>
      <w:proofErr w:type="spellStart"/>
      <w:r>
        <w:rPr>
          <w:rFonts w:cs="Arial"/>
          <w:color w:val="000000"/>
          <w:sz w:val="22"/>
        </w:rPr>
        <w:t>Klišmanić</w:t>
      </w:r>
      <w:proofErr w:type="spellEnd"/>
      <w:r>
        <w:rPr>
          <w:rFonts w:cs="Arial"/>
          <w:color w:val="000000"/>
          <w:sz w:val="22"/>
        </w:rPr>
        <w:t xml:space="preserve"> prekršio Ustav svoje zemlje', kojim tekstom upućuje čitatelja da je upravo tužitelj donio jednu odluku koja je ukinuta odlukom Ustavnog suda i to namjerno kršeći Ustav RH, čime direktno proziva tužitelja za odnosno postupanje nespojivo sa ponašanjem osobe koja obnaša dužnost suca, i pri tome tužitelja vrijeđa. 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Stoga i ovaj sud nalazi da je tekst istaknutog članka podoban da izazove javni prijekor, prezir i osudu javnosti, te da je objavom istoga tužitelju prouzročena šteta - time što su mu povrijeđeni čast, ugled i profesionalni dignitet, zbog čega je bio izložen neugodnostima u svakodnevnom životu i kontaktu s prijateljima, kolegama i </w:t>
      </w:r>
      <w:r>
        <w:rPr>
          <w:rFonts w:cs="Arial"/>
          <w:color w:val="000000"/>
          <w:sz w:val="22"/>
        </w:rPr>
        <w:lastRenderedPageBreak/>
        <w:t>poznanicima, te njihovim reagiranjem na iznesene informacije, i zbog svega navedenog trpio duševne bolove.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 xml:space="preserve">Što se, pak tiče, tvrdnje da je u tom dijelu činjenično stanje na kojem se odnosno utvrđenje temelji, ostalo pogrešno utvrđeno, jer žalitelj smatra da je u pitanju vrijednosni sud autora članka, a što tuženika, kao nakladnika, oslobađa odgovornosti za počinjenu štetu, ovaj sud nalazi da je prvostupanjski sud pravilno ocijenio sadržaj predmetnih članaka kad je zaključio da informacija kojom je u konkretnom slučaju šteta počinjena ne predstavlja niti jednu od onih taksativno navedenih u odredbi članka 21. stavka 4. ZM." (Zakona o medijima - </w:t>
      </w:r>
      <w:proofErr w:type="spellStart"/>
      <w:r>
        <w:rPr>
          <w:rFonts w:cs="Arial"/>
          <w:color w:val="000000"/>
          <w:sz w:val="22"/>
        </w:rPr>
        <w:t>op</w:t>
      </w:r>
      <w:proofErr w:type="spellEnd"/>
      <w:r>
        <w:rPr>
          <w:rFonts w:cs="Arial"/>
          <w:color w:val="000000"/>
          <w:sz w:val="22"/>
        </w:rPr>
        <w:t xml:space="preserve">. Ustavnog suda). "Isto tako, objavljena informacija nema temelja u činjenicama istinitost kojih je autor provjerio poštujući pravila struke i pri objavi postupao u dobroj vjeri, a niti se radi o informaciji koja bi bila točna, a iz okolnosti slučaja da bi proizlazilo da je novinar u dobroj vjeri zaključio da se </w:t>
      </w:r>
      <w:proofErr w:type="spellStart"/>
      <w:r>
        <w:rPr>
          <w:rFonts w:cs="Arial"/>
          <w:color w:val="000000"/>
          <w:sz w:val="22"/>
        </w:rPr>
        <w:t>oštećenik</w:t>
      </w:r>
      <w:proofErr w:type="spellEnd"/>
      <w:r>
        <w:rPr>
          <w:rFonts w:cs="Arial"/>
          <w:color w:val="000000"/>
          <w:sz w:val="22"/>
        </w:rPr>
        <w:t xml:space="preserve"> slaže s njezinim objavljivanjem. 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Cijeneći sadržaj objavljenih članaka, ovaj drugostupanjski sud nalazi da u istima objavljene informacije predstavljaju vrijednosni sud autora, ali objavljivanje takvih vrijednosnih sudova, kojima se bez valjanih argumenata, vrijeđa ugled, čast i dostojanstvo građana, nije zakonito, jer je protivno odredbi članka 16. stavak 1. ZM, kao takvo nije i ne može biti u javnom interesu - interesu koji za cilj ima dobrobit svih građana RH, a niti je dano u dobroj vjeri."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2.3.</w:t>
      </w:r>
      <w:r>
        <w:rPr>
          <w:rFonts w:cs="Arial"/>
          <w:color w:val="000000"/>
          <w:szCs w:val="24"/>
        </w:rPr>
        <w:tab/>
        <w:t>Nakon što je uredno zaprimio drugostupanjsku presudu, podnositelj je na temelju članka 62. Ustavnog zakona o Ustavnom sudu Republike Hrvatske ("Narodne novine" broj 99/99., 29/02. i 49/02. - pročišćeni tekst, u daljnjem tekstu: Ustavni zakon) Ustavnom sudu podnio ustavnu tužbu sa zahtjevom da Ustavni sud usvoji ustavnu tužbu.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  <w:t>III. PRIGOVORI PODNOSITELJA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3.</w:t>
      </w:r>
      <w:r>
        <w:rPr>
          <w:rFonts w:cs="Arial"/>
          <w:color w:val="000000"/>
          <w:szCs w:val="24"/>
        </w:rPr>
        <w:tab/>
        <w:t>Podnositelj smatra da su mu sudskim odlukama povrijeđena ustavna prava zajamčena člancima 29. stavkom 2. i 38. stavcima 1. i 2. Ustava. Također, smatra povrijeđenim i članak 10. Konvencije za zaštitu ljudskih prava i temeljnih sloboda ("Narodne novine - Međunarodni ugovori" broj 18/97., 6/99. - pročišćeni tekst, 8/99. - ispravak, 14/02. i 1/06.; u daljnjem tekstu: Konvencija).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Podnositelj navodi da mu je sudskim odlukama povrijeđeno ustavno pravo iz članka 38. stavaka 1. i 2. Ustava i to stoga jer se odluka u osporenim presudama temelji na samovoljnom zaključku o nepostojanju "valjanih argumenata".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 odnosu na tvrdnju podnositelja da se u konkretnom slučaju radi o vrijednosnom sudu autora članka podnositelj se poziva na praksu Europskog suda za ljudska prava u </w:t>
      </w:r>
      <w:proofErr w:type="spellStart"/>
      <w:r>
        <w:rPr>
          <w:rFonts w:cs="Arial"/>
          <w:color w:val="000000"/>
          <w:szCs w:val="24"/>
        </w:rPr>
        <w:t>Strasbourgu</w:t>
      </w:r>
      <w:proofErr w:type="spellEnd"/>
      <w:r>
        <w:rPr>
          <w:rFonts w:cs="Arial"/>
          <w:color w:val="000000"/>
          <w:szCs w:val="24"/>
        </w:rPr>
        <w:t xml:space="preserve"> (u daljnjem tekstu: ESLJP) iz predmeta </w:t>
      </w:r>
      <w:proofErr w:type="spellStart"/>
      <w:r>
        <w:rPr>
          <w:rFonts w:cs="Arial"/>
          <w:i/>
          <w:iCs/>
          <w:color w:val="000000"/>
          <w:szCs w:val="24"/>
        </w:rPr>
        <w:t>Haas</w:t>
      </w:r>
      <w:proofErr w:type="spellEnd"/>
      <w:r>
        <w:rPr>
          <w:rFonts w:cs="Arial"/>
          <w:i/>
          <w:iCs/>
          <w:color w:val="000000"/>
          <w:szCs w:val="24"/>
        </w:rPr>
        <w:t xml:space="preserve"> i </w:t>
      </w:r>
      <w:proofErr w:type="spellStart"/>
      <w:r>
        <w:rPr>
          <w:rFonts w:cs="Arial"/>
          <w:i/>
          <w:iCs/>
          <w:color w:val="000000"/>
          <w:szCs w:val="24"/>
        </w:rPr>
        <w:t>Gijsels</w:t>
      </w:r>
      <w:proofErr w:type="spellEnd"/>
      <w:r>
        <w:rPr>
          <w:rFonts w:cs="Arial"/>
          <w:i/>
          <w:iCs/>
          <w:color w:val="000000"/>
          <w:szCs w:val="24"/>
        </w:rPr>
        <w:t xml:space="preserve"> protiv Belgije</w:t>
      </w:r>
      <w:r>
        <w:rPr>
          <w:rFonts w:cs="Arial"/>
          <w:color w:val="000000"/>
          <w:szCs w:val="24"/>
        </w:rPr>
        <w:t xml:space="preserve"> (presuda, 24. veljače 1997., zahtjev br. 19983/92),</w:t>
      </w:r>
      <w:r>
        <w:rPr>
          <w:rFonts w:cs="Arial"/>
          <w:i/>
          <w:iCs/>
          <w:color w:val="000000"/>
          <w:szCs w:val="24"/>
        </w:rPr>
        <w:t xml:space="preserve"> </w:t>
      </w:r>
      <w:proofErr w:type="spellStart"/>
      <w:r>
        <w:rPr>
          <w:rFonts w:cs="Arial"/>
          <w:i/>
          <w:iCs/>
          <w:color w:val="000000"/>
          <w:szCs w:val="24"/>
        </w:rPr>
        <w:t>Lingens</w:t>
      </w:r>
      <w:proofErr w:type="spellEnd"/>
      <w:r>
        <w:rPr>
          <w:rFonts w:cs="Arial"/>
          <w:i/>
          <w:iCs/>
          <w:color w:val="000000"/>
          <w:szCs w:val="24"/>
        </w:rPr>
        <w:t xml:space="preserve"> protiv Austrije </w:t>
      </w:r>
      <w:r>
        <w:rPr>
          <w:rFonts w:cs="Arial"/>
          <w:color w:val="000000"/>
          <w:szCs w:val="24"/>
        </w:rPr>
        <w:t xml:space="preserve">(presuda, 8. srpnja 1986., zahtjev br. 9815/82) i dr.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Navodi da je društvena funkcija medija upozoriti na pojave kršenja ljudskih prava i nezakonito postupanje te smatra da je u konkretnom slučaju postupio na navedeni način. Također ističe da visina dosuđene naknade štete predstavlja kaznu za podnositelja, a ne pravičnu novčanu naknadu za duševne boli javne osobe odnosno da dosuđeni iznos nije proporcionalan cilju kojem se teži te je stoga protivan članku 10. Konvencije.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Zaključno, smatra da osporene presude ograničavaju slobodu govora i izražavanja.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  <w:t>V. OCJENA USTAVNOG SUDA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4.</w:t>
      </w:r>
      <w:r>
        <w:rPr>
          <w:rFonts w:cs="Arial"/>
          <w:color w:val="000000"/>
          <w:szCs w:val="24"/>
        </w:rPr>
        <w:tab/>
        <w:t>Ustavna je obveza Ustavnog suda zaštita ustavnih prava podnositelja ustavnih tužbi u slučajevima kad su ta prava povrijeđena presudom suda ili drugim pojedinačnim aktom nadležnog tijela državne ili javne vlasti. Ustaljeno je stajalište Ustavnog suda da je zadaća u prvom redu nadležnih tijela državne i javne vlasti da tumače i primjenjuju pravo. Uloga Ustavnog suda ograničena je na ispitivanje jesu li učinci takvog tumačenja, odnosno primjene prava suglasni s Ustavom i jesu li u konkretnom slučaju doveli do povrede ustavnih prava podnositelja ustavne tužbe. U postupcima pokrenutim ustavnom tužbom Ustavni sud se, u pravilu, ne upušta u ispitivanje činjenica jer njegova zadaća nije bavljenje pogreškama o činjenicama ili o pravu, osim ako i u mjeri u kojoj te pogreške mogu povrijediti ljudska prava i temeljene slobode zajamčene Ustavom. Ustavni sud, u tom smislu, svoje odluke zasniva na činjenicama utvrđenim u sudskom postupku, osim ako podnositelj ustavne tužbe ne iznese ozbiljne, relevantne i dostatne razloge zbog kojih je od tog pravila potrebno odstupiti.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</w:t>
      </w:r>
      <w:r>
        <w:rPr>
          <w:rFonts w:cs="Arial"/>
          <w:color w:val="000000"/>
          <w:szCs w:val="24"/>
        </w:rPr>
        <w:tab/>
        <w:t>S obzirom na navode ustavne tužbe, Ustavni sud je ustavnu tužbu podnositelja razmatrao s aspekta eventualne povrede ustavnih prava podnositelja zajamčenih člancima 29. stavkom 1. i 38. stavcima 1. i 2. Ustava.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5.1.</w:t>
      </w:r>
      <w:r>
        <w:rPr>
          <w:rFonts w:cs="Arial"/>
          <w:color w:val="000000"/>
          <w:szCs w:val="24"/>
        </w:rPr>
        <w:tab/>
        <w:t>Mjerodavni dio članka 29. Ustava glasi: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"Članak 29.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Svatko ima pravo da zakonom ustanovljeni neovisni i nepristrani sud pravično i u razumnom roku odluči o njegovim pravima i obvezama ...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(...)"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5.2.</w:t>
      </w:r>
      <w:r>
        <w:rPr>
          <w:rFonts w:cs="Arial"/>
          <w:color w:val="000000"/>
          <w:szCs w:val="24"/>
        </w:rPr>
        <w:tab/>
        <w:t>Sadržaj ustavnog prava na pravično suđenje ograničen je na jamstva pravičnog suđenja. Sukladno tome, ocjenjujući navode ustavne tužbe sa stajališta tog ustavnog prava, Ustavni sud ispituje eventualno postojanje povreda u postupcima pred sudovima i na temelju toga ocjenjuje je li postupak - razmatran kao jedinstvena cjelina - bio vođen na način koji je podnositelju osigurao pravično suđenje.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5.3.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 xml:space="preserve">Uvidom u osporene presude i pribavljeni spis, a posebno žalbene navode podnositelja, Ustavni sud utvrđuje da se osporavajući razlozi ustavne tužbe u pogledu povrede ustavnog prava na pravično suđenje iscrpljuju u ponavljanju žalbenih razloga, na koje je Županijski sud u Šibeniku valjano odgovorio. Osim navedenog, Ustavni sud ocjenjuje da je dokazni postupak proveden na način utvrđen mjerodavnim </w:t>
      </w:r>
      <w:proofErr w:type="spellStart"/>
      <w:r>
        <w:rPr>
          <w:rFonts w:cs="Arial"/>
          <w:color w:val="000000"/>
          <w:szCs w:val="24"/>
        </w:rPr>
        <w:t>postupovnim</w:t>
      </w:r>
      <w:proofErr w:type="spellEnd"/>
      <w:r>
        <w:rPr>
          <w:rFonts w:cs="Arial"/>
          <w:color w:val="000000"/>
          <w:szCs w:val="24"/>
        </w:rPr>
        <w:t xml:space="preserve"> zakonskim odredbama te da je podnositelju bilo omogućeno pratiti postupak i u njemu sudjelovati.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Slijedom navedenog, ocjena je Ustavnog suda da podnositelju nije povrijeđeno ustavno pravo na pravično suđenje zajamčeno člankom 29. stavkom 1. Ustava.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6.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Mjerodavni dio članka 38. Ustava i članka 10. Konvencije glase: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lastRenderedPageBreak/>
        <w:t xml:space="preserve">"Članak 38. 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Jamči se sloboda mišljenja i izražavanja misli.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Sloboda izražavanja misli obuhvaća osobito slobodu tiska i drugih sredstava priopćavanja, slobodu govora i javnog nastupa i slobodno osnivanje svih ustanova javnog priopćavanja.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(...)."</w:t>
      </w: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"Članak 10.</w:t>
      </w:r>
    </w:p>
    <w:p w:rsidR="00885F9B" w:rsidRDefault="00885F9B" w:rsidP="00885F9B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SLOBODA IZRAŽAVANJA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1. Svatko ima pravo na slobodu izražavanja. To pravo obuhvaća slobodu mišljenja i slobodu primanja i širenja informacija i ideja bez miješanja javne vlasti i bez obzira na granice (...)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  <w:t>2. Kako ostvarivanje tih sloboda obuhvaća dužnosti i odgovornosti, ono može biti podvrgnuto formalnostima, uvjetima, ograničenjima ili kaznama propisanim zakonom, koji su u demokratskom društvu nužni radi interesa državne sigurnosti, teritorijalne cjelovitosti ili javnog reda i mira, radi sprečavanja nereda ili zločina, radi zaštite zdravlja ili morala, radi zaštite ugleda ili prava drugih, radi sprečavanja odavanja povjerljivih informacija ili radi očuvanja autoriteta i nepristranosti sudbene vlasti."</w:t>
      </w:r>
    </w:p>
    <w:p w:rsidR="00885F9B" w:rsidRDefault="00885F9B" w:rsidP="00885F9B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sz w:val="22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6.1.</w:t>
      </w:r>
      <w:r>
        <w:rPr>
          <w:rFonts w:cs="Arial"/>
          <w:color w:val="000000"/>
          <w:szCs w:val="24"/>
        </w:rPr>
        <w:tab/>
        <w:t>Ustavom zajamčena sloboda mišljenja i izražavanja misli, koja u sebi sadrži i slobodu tiska, nema značenje apsolutne slobode, već je podložna ograničenjima propisanim Ustavom i zakonom.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Ustavno jamstvo slobodnog izražavanja sadrži obveze i odgovornosti koje se odnose i na tisak. Upravo radi postojanja tih obveza i odgovornosti od strane onih koji se koriste svojim pravom na slobodu izražavanja, tisak je prilikom iznošenja informacija od javnog interesa dužan postupati u dobroj vjeri kako bi pružio vjerodostojne informacije u skladu s novinarskom etikom.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Pri ocjeni je li došlo do povrede slobode izražavanja potrebno je sagledati svaki pojedini slučaj u svjetlu svih okolnosti, uključujući sadržaj spornih navoda, kao i kontekst u kojemu su ti navodi izrečeni. Osobito je potrebno utvrditi jesu li mjere poduzete radi ograničenja slobode izražavanja razmjerne legitimnom cilju koji se tim ograničenjem želi postići. 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6.2.</w:t>
      </w:r>
      <w:r>
        <w:rPr>
          <w:rFonts w:cs="Arial"/>
          <w:color w:val="000000"/>
          <w:szCs w:val="24"/>
        </w:rPr>
        <w:tab/>
        <w:t xml:space="preserve">U konkretnom slučaju, sloboda izražavanja misli i sloboda mišljenja podnositelja, prema ocjeni Ustavnog suda, nisu povrijeđeni. Razmatranjem osporenih presuda i cjelokupnog predmeta, Ustavni sud prihvaća stajališta nadležnih sudova da sporni članak ne predstavlja vrijednosne sudove koji se temelje na utvrđenim i stvarnim činjenicama i objavljivanje kojeg bi bilo u javnom interesu, već da sadrži verbalno izražavanje koje ima obilježja uvrede koja je učinjena subjektivnim i pristranim shvaćanjem autora teksta te da se ne radi o satiričkom niti metaforičnom načinu izražavanja. U konkretnom slučaju, tužitelj je u vrijeme objavljivanja </w:t>
      </w:r>
      <w:proofErr w:type="spellStart"/>
      <w:r>
        <w:rPr>
          <w:rFonts w:cs="Arial"/>
          <w:color w:val="000000"/>
          <w:szCs w:val="24"/>
        </w:rPr>
        <w:t>spronog</w:t>
      </w:r>
      <w:proofErr w:type="spellEnd"/>
      <w:r>
        <w:rPr>
          <w:rFonts w:cs="Arial"/>
          <w:color w:val="000000"/>
          <w:szCs w:val="24"/>
        </w:rPr>
        <w:t xml:space="preserve"> članka bio sudac i predsjednik županijskog suda, dakle osoba koja je nositelj sudbene vlasti, čiji rad ima temeljnu ulogu u državi vladavine prava. Zbog takve uloge, rad sudova treba uživati povjerenje javnosti i mora se štititi od neutemeljenih napada (predmet</w:t>
      </w:r>
      <w:r>
        <w:rPr>
          <w:rFonts w:cs="Arial"/>
          <w:i/>
          <w:iCs/>
          <w:color w:val="000000"/>
          <w:szCs w:val="24"/>
        </w:rPr>
        <w:t xml:space="preserve"> </w:t>
      </w:r>
      <w:proofErr w:type="spellStart"/>
      <w:r>
        <w:rPr>
          <w:rFonts w:cs="Arial"/>
          <w:i/>
          <w:iCs/>
          <w:color w:val="000000"/>
          <w:szCs w:val="24"/>
        </w:rPr>
        <w:t>Prager</w:t>
      </w:r>
      <w:proofErr w:type="spellEnd"/>
      <w:r>
        <w:rPr>
          <w:rFonts w:cs="Arial"/>
          <w:i/>
          <w:iCs/>
          <w:color w:val="000000"/>
          <w:szCs w:val="24"/>
        </w:rPr>
        <w:t xml:space="preserve"> i </w:t>
      </w:r>
      <w:proofErr w:type="spellStart"/>
      <w:r>
        <w:rPr>
          <w:rFonts w:cs="Arial"/>
          <w:i/>
          <w:iCs/>
          <w:color w:val="000000"/>
          <w:szCs w:val="24"/>
        </w:rPr>
        <w:t>Oberschlick</w:t>
      </w:r>
      <w:proofErr w:type="spellEnd"/>
      <w:r>
        <w:rPr>
          <w:rFonts w:cs="Arial"/>
          <w:i/>
          <w:iCs/>
          <w:color w:val="000000"/>
          <w:szCs w:val="24"/>
        </w:rPr>
        <w:t xml:space="preserve"> protiv Austrije, </w:t>
      </w:r>
      <w:r>
        <w:rPr>
          <w:rFonts w:cs="Arial"/>
          <w:color w:val="000000"/>
          <w:szCs w:val="24"/>
        </w:rPr>
        <w:t>presuda, vijeće, 26. travnja 1995., zahtjev br. 15974/90). Ustavni sud posebno napominje da sudovi, kao i ostale institucije, nisu imuni na kritiku i kontrolu, no ta kritika nikada ne smije prijeći određene granice, a osobito treba jasno razlikovati kritiku i uvredu, o čemu, prema ocjeni Ustavnog suda, podnositelj nije vodio računa kad je objavio sporni članak.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lastRenderedPageBreak/>
        <w:t>6.3.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U odnosu na određenu visinu novčane naknade nematerijalne štete, Ustavni sud ne prihvaća argument podnositelja da ista predstavlja kaznu za podnositelja, a ne pravičnu naknadu za duševne boli javne osobe. Iz obrazloženja sudskih odluka razvidno je da su nadležni sudovi, odmjeravajući visinu naknade štete, uzeli u obzir činjenicu da je sporni članak objavljen u tjednim novinama koje se distribuiraju na području grada Zadra, gdje tužitelj živi i radi kao sudac, pri čemu su imali u vidu težinu i prirodu iznesenih uvredljivih tvrdnji na račun tužitelja kao i činjenicu što šteta nije na zahtjev tužitelja umanjena objavom prikladne isprike.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Slijedom iznijetoga, Ustavni sud ocjenjuje da podnositelju osporenim odlukama nisu povrijeđena prava iz članka 38. stavaka 1. i 2. Ustava.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7.</w:t>
      </w: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color w:val="000000"/>
          <w:szCs w:val="24"/>
        </w:rPr>
        <w:t>Stoga, a na temelju članaka 73. i 75. Ustavnog zakona, odlučeno je kao u izreci odluke.</w:t>
      </w: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885F9B" w:rsidRDefault="00885F9B" w:rsidP="00885F9B">
      <w:pPr>
        <w:autoSpaceDE w:val="0"/>
        <w:autoSpaceDN w:val="0"/>
        <w:adjustRightInd w:val="0"/>
        <w:ind w:left="3095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PREDSJEDNICA VIJEĆA</w:t>
      </w:r>
    </w:p>
    <w:p w:rsidR="00403D98" w:rsidRDefault="00885F9B" w:rsidP="00885F9B">
      <w:pPr>
        <w:autoSpaceDE w:val="0"/>
        <w:autoSpaceDN w:val="0"/>
        <w:adjustRightInd w:val="0"/>
        <w:ind w:left="3095"/>
        <w:jc w:val="center"/>
      </w:pPr>
      <w:r>
        <w:rPr>
          <w:rFonts w:cs="Arial"/>
          <w:color w:val="000000"/>
          <w:szCs w:val="24"/>
        </w:rPr>
        <w:t>dr. sc. Snježana Bagić, v. r.</w:t>
      </w:r>
    </w:p>
    <w:sectPr w:rsidR="00403D98" w:rsidSect="00E344A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42" w:rsidRDefault="005A2642" w:rsidP="00E344AC">
      <w:r>
        <w:separator/>
      </w:r>
    </w:p>
  </w:endnote>
  <w:endnote w:type="continuationSeparator" w:id="0">
    <w:p w:rsidR="005A2642" w:rsidRDefault="005A2642" w:rsidP="00E3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42" w:rsidRDefault="005A2642" w:rsidP="00E344AC">
      <w:r>
        <w:separator/>
      </w:r>
    </w:p>
  </w:footnote>
  <w:footnote w:type="continuationSeparator" w:id="0">
    <w:p w:rsidR="005A2642" w:rsidRDefault="005A2642" w:rsidP="00E3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03824"/>
      <w:docPartObj>
        <w:docPartGallery w:val="Page Numbers (Top of Page)"/>
        <w:docPartUnique/>
      </w:docPartObj>
    </w:sdtPr>
    <w:sdtEndPr/>
    <w:sdtContent>
      <w:p w:rsidR="00E344AC" w:rsidRDefault="00E344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C26">
          <w:rPr>
            <w:noProof/>
          </w:rPr>
          <w:t>6</w:t>
        </w:r>
        <w:r>
          <w:fldChar w:fldCharType="end"/>
        </w:r>
      </w:p>
    </w:sdtContent>
  </w:sdt>
  <w:p w:rsidR="00E344AC" w:rsidRDefault="00E3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9B"/>
    <w:rsid w:val="00370B9B"/>
    <w:rsid w:val="00403D98"/>
    <w:rsid w:val="004605A8"/>
    <w:rsid w:val="005A2642"/>
    <w:rsid w:val="0070556B"/>
    <w:rsid w:val="00771C26"/>
    <w:rsid w:val="007812D3"/>
    <w:rsid w:val="00885F9B"/>
    <w:rsid w:val="008D6D42"/>
    <w:rsid w:val="00CE3777"/>
    <w:rsid w:val="00E3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AC"/>
  </w:style>
  <w:style w:type="paragraph" w:styleId="Footer">
    <w:name w:val="footer"/>
    <w:basedOn w:val="Normal"/>
    <w:link w:val="Foot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AC"/>
  </w:style>
  <w:style w:type="paragraph" w:styleId="BalloonText">
    <w:name w:val="Balloon Text"/>
    <w:basedOn w:val="Normal"/>
    <w:link w:val="BalloonTextChar"/>
    <w:uiPriority w:val="99"/>
    <w:semiHidden/>
    <w:unhideWhenUsed/>
    <w:rsid w:val="0088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AC"/>
  </w:style>
  <w:style w:type="paragraph" w:styleId="Footer">
    <w:name w:val="footer"/>
    <w:basedOn w:val="Normal"/>
    <w:link w:val="FooterChar"/>
    <w:uiPriority w:val="99"/>
    <w:unhideWhenUsed/>
    <w:rsid w:val="00E34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AC"/>
  </w:style>
  <w:style w:type="paragraph" w:styleId="BalloonText">
    <w:name w:val="Balloon Text"/>
    <w:basedOn w:val="Normal"/>
    <w:link w:val="BalloonTextChar"/>
    <w:uiPriority w:val="99"/>
    <w:semiHidden/>
    <w:unhideWhenUsed/>
    <w:rsid w:val="00885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13576</Characters>
  <Application>Microsoft Office Word</Application>
  <DocSecurity>0</DocSecurity>
  <Lines>273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USUD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USUD</dc:creator>
  <cp:lastModifiedBy>Pađen</cp:lastModifiedBy>
  <cp:revision>3</cp:revision>
  <dcterms:created xsi:type="dcterms:W3CDTF">2018-03-01T21:19:00Z</dcterms:created>
  <dcterms:modified xsi:type="dcterms:W3CDTF">2018-03-15T22:49:00Z</dcterms:modified>
</cp:coreProperties>
</file>