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FAAE" w14:textId="77777777" w:rsidR="00983A8B" w:rsidRDefault="00983A8B" w:rsidP="00983A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Pavao Škoko Gavranović, </w:t>
      </w:r>
      <w:proofErr w:type="spellStart"/>
      <w:r>
        <w:rPr>
          <w:rFonts w:ascii="Times New Roman" w:hAnsi="Times New Roman" w:cs="Times New Roman"/>
          <w:b/>
          <w:bCs/>
        </w:rPr>
        <w:t>univ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spec</w:t>
      </w:r>
      <w:proofErr w:type="spellEnd"/>
      <w:r>
        <w:rPr>
          <w:rFonts w:ascii="Times New Roman" w:hAnsi="Times New Roman" w:cs="Times New Roman"/>
          <w:b/>
          <w:bCs/>
        </w:rPr>
        <w:t>. pol.</w:t>
      </w:r>
    </w:p>
    <w:p w14:paraId="0C20C439" w14:textId="2C7A6EF5" w:rsidR="00983A8B" w:rsidRPr="009A1C98" w:rsidRDefault="00F44A22" w:rsidP="00983A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83A8B">
        <w:rPr>
          <w:rFonts w:ascii="Times New Roman" w:hAnsi="Times New Roman" w:cs="Times New Roman"/>
          <w:b/>
          <w:bCs/>
        </w:rPr>
        <w:t>adaća</w:t>
      </w:r>
      <w:r>
        <w:rPr>
          <w:rFonts w:ascii="Times New Roman" w:hAnsi="Times New Roman" w:cs="Times New Roman"/>
          <w:b/>
          <w:bCs/>
        </w:rPr>
        <w:t xml:space="preserve"> za VIII susret</w:t>
      </w:r>
    </w:p>
    <w:p w14:paraId="6D936681" w14:textId="61742E19" w:rsidR="00C40B49" w:rsidRDefault="00C40B49" w:rsidP="00676E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94E44B" w14:textId="59A9C9F4" w:rsidR="00F44A22" w:rsidRDefault="00F44A22" w:rsidP="00F44A2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Konceptualizacija, operacionalizacija te odabir empirijskog okvira</w:t>
      </w:r>
    </w:p>
    <w:p w14:paraId="0BAA4F05" w14:textId="77777777" w:rsidR="00F44A22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8F46E4" w14:textId="77777777" w:rsidR="00F44A22" w:rsidRPr="00F44A22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4A22">
        <w:rPr>
          <w:rFonts w:ascii="Times New Roman" w:hAnsi="Times New Roman" w:cs="Times New Roman"/>
        </w:rPr>
        <w:t>Ovo istraživanje analizira učinkovitost vanjske, sigurnosne i geopolitičke politike Europske unije u regijama koje tvore "Polumjesec nesigurnosti", a koje obuhvaćaju južni Kavkaz, Tursku, Bliski istok i Sjevernu Afriku. Poseban naglasak stavljen je na Europski strateški kompas, ključni dokument koji operacionalizira koncept Otvorene europske autonomije.</w:t>
      </w:r>
    </w:p>
    <w:p w14:paraId="7B9F4615" w14:textId="77777777" w:rsidR="00F44A22" w:rsidRPr="00F44A22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5088BE" w14:textId="77777777" w:rsidR="00F44A22" w:rsidRPr="00F44A22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4A22">
        <w:rPr>
          <w:rFonts w:ascii="Times New Roman" w:hAnsi="Times New Roman" w:cs="Times New Roman"/>
        </w:rPr>
        <w:t>U svrhu istraživanja definirane su dvije glavne varijable. Nezavisnu varijablu predstavljaju europske strateške i sigurnosne politike formulirane u Europskom strateškom kompasu, dok je zavisna varijabla njihov učinak na regionalnu stabilnost, sigurnost i razvoj u promatranim državama. Učinkovitost politika mjeri se putem nekoliko indikatora, među kojima su razvojna pomoć EU izražena kroz financijske i institucionalne parametre, sigurnosna suradnja koja uključuje misije, obrambene izdatke i unutarnju represiju, kao i usklađenost strateških ciljeva EU s ciljevima promatranih država. Također, analizira se javna politika i ključni strateški dokumenti kako bi se dobio sveobuhvatan uvid u djelovanje EU u ovim regijama.</w:t>
      </w:r>
    </w:p>
    <w:p w14:paraId="349AB744" w14:textId="77777777" w:rsidR="00F44A22" w:rsidRPr="00F44A22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F589FB" w14:textId="2E75882B" w:rsidR="00F44A22" w:rsidRPr="00676E15" w:rsidRDefault="00F44A22" w:rsidP="00F44A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4A22">
        <w:rPr>
          <w:rFonts w:ascii="Times New Roman" w:hAnsi="Times New Roman" w:cs="Times New Roman"/>
        </w:rPr>
        <w:t>Empirijski dio istraživanja temelji se na više metoda. Prvo, primjenjuje se analiza sadržaja strateških dokumenata EU, uključujući Europski strateški kompas, Zajedničku vanjsku i sigurnosnu politiku te godišnje izvještaje. Zatim se provodi komparativna analiza europskih politika prema različitim državama "Polumjeseca nesigurnosti" kroz pristup koji obuhvaća velik broj slučajeva. Uz to, planiraju se intervjui s relevantnim dionicima, poput veleposlanika, gospodarstvenika, novinara i predstavnika civilnog društva, kako bi se empirijski potvrdili učinci politika EU. Konačno, kvantitativna analiza omogućuje usporedbu ekonomskih i sigurnosnih pokazatelja u promatranim državama, čime se procjenjuje konkretan učinak europskih strategija na stabilnost i razvoj regije.</w:t>
      </w:r>
    </w:p>
    <w:sectPr w:rsidR="00F44A22" w:rsidRPr="0067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15"/>
    <w:rsid w:val="003E2786"/>
    <w:rsid w:val="00550C8E"/>
    <w:rsid w:val="00645C40"/>
    <w:rsid w:val="00676E15"/>
    <w:rsid w:val="00983A8B"/>
    <w:rsid w:val="00B47152"/>
    <w:rsid w:val="00C40B49"/>
    <w:rsid w:val="00C43D28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D8C"/>
  <w15:chartTrackingRefBased/>
  <w15:docId w15:val="{A1B545FE-81F9-41AA-9118-BC1242D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6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6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6E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6E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6E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6E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6E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6E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6E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6E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6E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6E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6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Škoko Gavranović</dc:creator>
  <cp:keywords/>
  <dc:description/>
  <cp:lastModifiedBy>Višeslav Raos</cp:lastModifiedBy>
  <cp:revision>2</cp:revision>
  <dcterms:created xsi:type="dcterms:W3CDTF">2025-04-22T14:26:00Z</dcterms:created>
  <dcterms:modified xsi:type="dcterms:W3CDTF">2025-04-22T14:26:00Z</dcterms:modified>
</cp:coreProperties>
</file>